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C8E7F" w14:textId="77777777" w:rsidR="003957D7" w:rsidRDefault="003957D7" w:rsidP="00F26F17">
      <w:pPr>
        <w:ind w:left="-567" w:right="-284"/>
        <w:jc w:val="both"/>
        <w:rPr>
          <w:rFonts w:ascii="Arial" w:hAnsi="Arial" w:cs="Arial"/>
          <w:b/>
          <w:bCs/>
        </w:rPr>
      </w:pPr>
    </w:p>
    <w:p w14:paraId="4B666E71" w14:textId="3CEC83E2" w:rsidR="00BB561B" w:rsidRPr="00481543" w:rsidRDefault="00BB561B" w:rsidP="00F26F17">
      <w:pPr>
        <w:pStyle w:val="Textoindependiente"/>
        <w:spacing w:after="0" w:line="240" w:lineRule="auto"/>
        <w:ind w:left="-567" w:right="-284"/>
        <w:jc w:val="center"/>
        <w:rPr>
          <w:rFonts w:ascii="Arial"/>
          <w:b/>
          <w:sz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D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 xml:space="preserve">irección </w:t>
      </w:r>
      <w:r>
        <w:rPr>
          <w:rFonts w:ascii="Arial" w:eastAsia="Arial" w:hAnsi="Arial" w:cs="Arial"/>
          <w:b/>
          <w:bCs/>
          <w:sz w:val="28"/>
          <w:szCs w:val="28"/>
        </w:rPr>
        <w:t>D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>istrital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de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 xml:space="preserve">astaza del </w:t>
      </w:r>
      <w:r>
        <w:rPr>
          <w:rFonts w:ascii="Arial" w:eastAsia="Arial" w:hAnsi="Arial" w:cs="Arial"/>
          <w:b/>
          <w:bCs/>
          <w:sz w:val="28"/>
          <w:szCs w:val="28"/>
        </w:rPr>
        <w:t>MAGP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 xml:space="preserve"> rinde cuentas y </w:t>
      </w:r>
      <w:r w:rsidR="00F26F17">
        <w:rPr>
          <w:rFonts w:ascii="Arial" w:eastAsia="Arial" w:hAnsi="Arial" w:cs="Arial"/>
          <w:b/>
          <w:bCs/>
          <w:sz w:val="28"/>
          <w:szCs w:val="28"/>
        </w:rPr>
        <w:t>presenta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 xml:space="preserve"> logros </w:t>
      </w:r>
      <w:r w:rsidR="00F26F17">
        <w:rPr>
          <w:rFonts w:ascii="Arial" w:eastAsia="Arial" w:hAnsi="Arial" w:cs="Arial"/>
          <w:b/>
          <w:bCs/>
          <w:sz w:val="28"/>
          <w:szCs w:val="28"/>
        </w:rPr>
        <w:t xml:space="preserve">obtenidos en 2025 </w:t>
      </w:r>
      <w:r w:rsidRPr="00481543">
        <w:rPr>
          <w:rFonts w:ascii="Arial" w:eastAsia="Arial" w:hAnsi="Arial" w:cs="Arial"/>
          <w:b/>
          <w:bCs/>
          <w:sz w:val="28"/>
          <w:szCs w:val="28"/>
        </w:rPr>
        <w:t>en beneficio del sector agropecuario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14:paraId="4F3258B8" w14:textId="77777777" w:rsidR="00BB561B" w:rsidRDefault="00BB561B" w:rsidP="00F26F17">
      <w:pPr>
        <w:ind w:left="-567" w:right="-284"/>
        <w:jc w:val="both"/>
        <w:rPr>
          <w:rFonts w:ascii="Arial" w:hAnsi="Arial" w:cs="Arial"/>
        </w:rPr>
      </w:pPr>
    </w:p>
    <w:p w14:paraId="0275AFC0" w14:textId="3E6AC5BF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 xml:space="preserve">La Dirección Distrital 16D01 Pastaza a Santa Clara del Ministerio de Agricultura, Ganadería y Pesca (MAGP) presentó su </w:t>
      </w:r>
      <w:r w:rsidR="00F26F17">
        <w:rPr>
          <w:rFonts w:ascii="Arial" w:hAnsi="Arial" w:cs="Arial"/>
        </w:rPr>
        <w:t>i</w:t>
      </w:r>
      <w:r w:rsidRPr="00024DCA">
        <w:rPr>
          <w:rFonts w:ascii="Arial" w:hAnsi="Arial" w:cs="Arial"/>
        </w:rPr>
        <w:t>nforme de Rendición de Cuentas correspondiente al período del 1 de enero al 31 de diciembre de 2025, en el que expuso los principales resultados alcanzados en beneficio del sector rural de la provincia.</w:t>
      </w:r>
    </w:p>
    <w:p w14:paraId="77E409D3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0259E2E3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Durante el año evaluado, la institución ejecutó una inversión de 591.527,80 dólares, con un 97,01 % de ejecución presupuestaria, recursos destinados a programas de productividad, asistencia técnica, comercialización, acceso a tierras y fortalecimiento pecuario.</w:t>
      </w:r>
    </w:p>
    <w:p w14:paraId="4D61D2FD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3CE81A6A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Entre los principales resultados, el Proyecto Integral de Diversificación Agroproductiva y Reconversión Agrícola (PIDARA) registró la entrega de 400 paquetes tecnológicos, 13 Unidades Móviles Agroproductivas (UMA) y 4 Soluciones de Mecanización Agroproductiva (SOMA). Además, se realizaron 6.723 asistencias técnicas y 550 capacitaciones, alcanzando a cerca de 4.000 productores de la provincia.</w:t>
      </w:r>
    </w:p>
    <w:p w14:paraId="2F4A3192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35C24B13" w14:textId="3883A5D2" w:rsidR="00BB561B" w:rsidRDefault="00BB561B" w:rsidP="00F26F17">
      <w:pPr>
        <w:ind w:left="-567" w:right="-284"/>
        <w:jc w:val="both"/>
        <w:rPr>
          <w:rFonts w:ascii="Arial" w:hAnsi="Arial" w:cs="Arial"/>
        </w:rPr>
      </w:pPr>
      <w:r w:rsidRPr="00BB561B">
        <w:rPr>
          <w:rFonts w:ascii="Arial" w:hAnsi="Arial" w:cs="Arial"/>
        </w:rPr>
        <w:t>La gestión comercial registró ventas por 268.182,24 dólares, mediante la vinculación de 265 productores a Circuitos Alternativos de Comercialización (C</w:t>
      </w:r>
      <w:r w:rsidR="00F26F17">
        <w:rPr>
          <w:rFonts w:ascii="Arial" w:hAnsi="Arial" w:cs="Arial"/>
        </w:rPr>
        <w:t>ialco</w:t>
      </w:r>
      <w:r w:rsidRPr="00BB561B">
        <w:rPr>
          <w:rFonts w:ascii="Arial" w:hAnsi="Arial" w:cs="Arial"/>
        </w:rPr>
        <w:t xml:space="preserve">). Estas acciones </w:t>
      </w:r>
      <w:r w:rsidRPr="00BB561B">
        <w:rPr>
          <w:rFonts w:ascii="Arial" w:hAnsi="Arial" w:cs="Arial"/>
          <w:lang w:val="es-419"/>
        </w:rPr>
        <w:t>amplían</w:t>
      </w:r>
      <w:r w:rsidRPr="00BB561B">
        <w:rPr>
          <w:rFonts w:ascii="Arial" w:hAnsi="Arial" w:cs="Arial"/>
        </w:rPr>
        <w:t xml:space="preserve"> espacios de venta directa, fortalec</w:t>
      </w:r>
      <w:r>
        <w:rPr>
          <w:rFonts w:ascii="Arial" w:hAnsi="Arial" w:cs="Arial"/>
        </w:rPr>
        <w:t>en</w:t>
      </w:r>
      <w:r w:rsidRPr="00BB561B">
        <w:rPr>
          <w:rFonts w:ascii="Arial" w:hAnsi="Arial" w:cs="Arial"/>
        </w:rPr>
        <w:t xml:space="preserve"> la relación entre productores y consumidores, y dinamiza</w:t>
      </w:r>
      <w:r>
        <w:rPr>
          <w:rFonts w:ascii="Arial" w:hAnsi="Arial" w:cs="Arial"/>
        </w:rPr>
        <w:t>n</w:t>
      </w:r>
      <w:r w:rsidRPr="00BB561B">
        <w:rPr>
          <w:rFonts w:ascii="Arial" w:hAnsi="Arial" w:cs="Arial"/>
        </w:rPr>
        <w:t xml:space="preserve"> la circulación de productos locales en mercados y ferias de la provincia.</w:t>
      </w:r>
    </w:p>
    <w:p w14:paraId="293D751B" w14:textId="77777777" w:rsidR="00BB561B" w:rsidRDefault="00BB561B" w:rsidP="00F26F17">
      <w:pPr>
        <w:ind w:left="-567" w:right="-284"/>
        <w:jc w:val="both"/>
        <w:rPr>
          <w:rFonts w:ascii="Arial" w:hAnsi="Arial" w:cs="Arial"/>
        </w:rPr>
      </w:pPr>
    </w:p>
    <w:p w14:paraId="4C5C7871" w14:textId="79E38A4C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En el ámbito pecuario, el Proyecto Nacional de Reconversión y Sostenibilidad Ganadera benefició a productores con 164 paquetes tecnológicos, mientras 80 ganaderos participaron en procesos de capacitación sobre prácticas sostenibles.</w:t>
      </w:r>
    </w:p>
    <w:p w14:paraId="12856F0E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3C732595" w14:textId="3AC339D5" w:rsidR="00024DCA" w:rsidRDefault="00BB561B" w:rsidP="00F26F17">
      <w:pPr>
        <w:ind w:left="-567" w:right="-284"/>
        <w:jc w:val="both"/>
        <w:rPr>
          <w:rFonts w:ascii="Arial" w:hAnsi="Arial" w:cs="Arial"/>
        </w:rPr>
      </w:pPr>
      <w:r w:rsidRPr="00BB561B">
        <w:rPr>
          <w:rFonts w:ascii="Arial" w:hAnsi="Arial" w:cs="Arial"/>
        </w:rPr>
        <w:t>Mediante el crédito Agroimpacto 7x7, se colocaron 529.850 dólares en financiamiento productivo para 65 productores. Estos recursos facilitaron capital de trabajo e inversión en cultivos, adquisición de insumos, mejora de infraestructura y fortalecimiento de actividades agropecuarias en territorio</w:t>
      </w:r>
    </w:p>
    <w:p w14:paraId="6E8E7DE3" w14:textId="77777777" w:rsidR="00BB561B" w:rsidRPr="00024DCA" w:rsidRDefault="00BB561B" w:rsidP="00F26F17">
      <w:pPr>
        <w:ind w:left="-567" w:right="-284"/>
        <w:jc w:val="both"/>
        <w:rPr>
          <w:rFonts w:ascii="Arial" w:hAnsi="Arial" w:cs="Arial"/>
        </w:rPr>
      </w:pPr>
    </w:p>
    <w:p w14:paraId="287588DE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Como parte del proceso de regularización rural, se entregaron 34 títulos de propiedad que beneficiaron a igual número de familias, legalizando más de 99 hectáreas en los cantones Pastaza, Mera, Santa Clara y Arajuno.</w:t>
      </w:r>
    </w:p>
    <w:p w14:paraId="401067EB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5E22AAA0" w14:textId="35EA642D" w:rsidR="00024DCA" w:rsidRDefault="00BB561B" w:rsidP="00F26F17">
      <w:pPr>
        <w:ind w:left="-567" w:right="-284"/>
        <w:jc w:val="both"/>
        <w:rPr>
          <w:rFonts w:ascii="Arial" w:hAnsi="Arial" w:cs="Arial"/>
        </w:rPr>
      </w:pPr>
      <w:r w:rsidRPr="00BB561B">
        <w:rPr>
          <w:rFonts w:ascii="Arial" w:hAnsi="Arial" w:cs="Arial"/>
        </w:rPr>
        <w:t xml:space="preserve">Asimismo, 441 productores se incorporaron al registro del </w:t>
      </w:r>
      <w:r w:rsidR="00F26F17">
        <w:rPr>
          <w:rFonts w:ascii="Arial" w:hAnsi="Arial" w:cs="Arial"/>
        </w:rPr>
        <w:t>S</w:t>
      </w:r>
      <w:r w:rsidRPr="00BB561B">
        <w:rPr>
          <w:rFonts w:ascii="Arial" w:hAnsi="Arial" w:cs="Arial"/>
        </w:rPr>
        <w:t xml:space="preserve">ello de Agricultura Familiar Campesina (AFC). Este proceso fortaleció la identificación de productores de la economía familiar rural y </w:t>
      </w:r>
      <w:r>
        <w:rPr>
          <w:rFonts w:ascii="Arial" w:hAnsi="Arial" w:cs="Arial"/>
        </w:rPr>
        <w:t>generó</w:t>
      </w:r>
      <w:r w:rsidRPr="00BB561B">
        <w:rPr>
          <w:rFonts w:ascii="Arial" w:hAnsi="Arial" w:cs="Arial"/>
        </w:rPr>
        <w:t xml:space="preserve"> oportunidades de acceso a programas institucionales, espacios de comercialización y procesos de acompañamiento técnico.</w:t>
      </w:r>
    </w:p>
    <w:p w14:paraId="730866DA" w14:textId="77777777" w:rsidR="00BB561B" w:rsidRPr="00024DCA" w:rsidRDefault="00BB561B" w:rsidP="00F26F17">
      <w:pPr>
        <w:ind w:left="-567" w:right="-284"/>
        <w:jc w:val="both"/>
        <w:rPr>
          <w:rFonts w:ascii="Arial" w:hAnsi="Arial" w:cs="Arial"/>
        </w:rPr>
      </w:pPr>
    </w:p>
    <w:p w14:paraId="72F8B14F" w14:textId="7B1259FF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La gestión institucional también incluyó capacitación en pro</w:t>
      </w:r>
      <w:r w:rsidR="00F26F17">
        <w:rPr>
          <w:rFonts w:ascii="Arial" w:hAnsi="Arial" w:cs="Arial"/>
        </w:rPr>
        <w:t>yecto</w:t>
      </w:r>
      <w:r w:rsidRPr="00024DCA">
        <w:rPr>
          <w:rFonts w:ascii="Arial" w:hAnsi="Arial" w:cs="Arial"/>
        </w:rPr>
        <w:t>s como CampoSeguro, acciones vinculadas al sector forestal y atención a más de 1.200 usuarios mediante la ventanilla única.</w:t>
      </w:r>
    </w:p>
    <w:p w14:paraId="49B72733" w14:textId="77777777" w:rsidR="00024DCA" w:rsidRPr="00024DCA" w:rsidRDefault="00024DCA" w:rsidP="00F26F17">
      <w:pPr>
        <w:ind w:left="-567" w:right="-284"/>
        <w:jc w:val="both"/>
        <w:rPr>
          <w:rFonts w:ascii="Arial" w:hAnsi="Arial" w:cs="Arial"/>
        </w:rPr>
      </w:pPr>
    </w:p>
    <w:p w14:paraId="0CF9C89E" w14:textId="32092B6D" w:rsidR="00C5381B" w:rsidRPr="0067103E" w:rsidRDefault="00024DCA" w:rsidP="00F26F17">
      <w:pPr>
        <w:ind w:left="-567" w:right="-284"/>
        <w:jc w:val="both"/>
        <w:rPr>
          <w:rFonts w:ascii="Arial" w:hAnsi="Arial" w:cs="Arial"/>
        </w:rPr>
      </w:pPr>
      <w:r w:rsidRPr="00024DCA">
        <w:rPr>
          <w:rFonts w:ascii="Arial" w:hAnsi="Arial" w:cs="Arial"/>
        </w:rPr>
        <w:t>Con estos resultados, la Dirección Distrital de Pastaza ratificó su continuidad en la ejecución de acciones junto a productores, organizaciones e instituciones de la provincia.</w:t>
      </w:r>
    </w:p>
    <w:sectPr w:rsidR="00C5381B" w:rsidRPr="0067103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9CAFD" w14:textId="77777777" w:rsidR="003F7E46" w:rsidRDefault="003F7E46" w:rsidP="003957D7">
      <w:r>
        <w:separator/>
      </w:r>
    </w:p>
  </w:endnote>
  <w:endnote w:type="continuationSeparator" w:id="0">
    <w:p w14:paraId="2929AD44" w14:textId="77777777" w:rsidR="003F7E46" w:rsidRDefault="003F7E46" w:rsidP="0039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2861" w14:textId="77777777" w:rsidR="003F7E46" w:rsidRDefault="003F7E46" w:rsidP="003957D7">
      <w:r>
        <w:separator/>
      </w:r>
    </w:p>
  </w:footnote>
  <w:footnote w:type="continuationSeparator" w:id="0">
    <w:p w14:paraId="06BFC94A" w14:textId="77777777" w:rsidR="003F7E46" w:rsidRDefault="003F7E46" w:rsidP="00395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590F4" w14:textId="2B104EFB" w:rsidR="003957D7" w:rsidRDefault="003957D7">
    <w:pPr>
      <w:pStyle w:val="Encabezado"/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2BB2B2F3" wp14:editId="33D5ABC2">
          <wp:simplePos x="0" y="0"/>
          <wp:positionH relativeFrom="page">
            <wp:align>right</wp:align>
          </wp:positionH>
          <wp:positionV relativeFrom="paragraph">
            <wp:posOffset>-699135</wp:posOffset>
          </wp:positionV>
          <wp:extent cx="7555230" cy="1177328"/>
          <wp:effectExtent l="0" t="0" r="7620" b="3810"/>
          <wp:wrapNone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32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D96"/>
    <w:rsid w:val="00024DCA"/>
    <w:rsid w:val="00233D96"/>
    <w:rsid w:val="0039412C"/>
    <w:rsid w:val="003957D7"/>
    <w:rsid w:val="003F11CA"/>
    <w:rsid w:val="003F7E46"/>
    <w:rsid w:val="00486E08"/>
    <w:rsid w:val="00531186"/>
    <w:rsid w:val="00697EDE"/>
    <w:rsid w:val="00804990"/>
    <w:rsid w:val="008D02FC"/>
    <w:rsid w:val="00AA3D96"/>
    <w:rsid w:val="00BB561B"/>
    <w:rsid w:val="00C5381B"/>
    <w:rsid w:val="00D010EB"/>
    <w:rsid w:val="00D21E7E"/>
    <w:rsid w:val="00E4019A"/>
    <w:rsid w:val="00F2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1A69"/>
  <w15:chartTrackingRefBased/>
  <w15:docId w15:val="{97AD92CD-3BEB-48CD-82EC-0DEEF2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57D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3957D7"/>
  </w:style>
  <w:style w:type="paragraph" w:styleId="Piedepgina">
    <w:name w:val="footer"/>
    <w:basedOn w:val="Normal"/>
    <w:link w:val="PiedepginaCar"/>
    <w:uiPriority w:val="99"/>
    <w:unhideWhenUsed/>
    <w:rsid w:val="003957D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957D7"/>
  </w:style>
  <w:style w:type="paragraph" w:styleId="NormalWeb">
    <w:name w:val="Normal (Web)"/>
    <w:basedOn w:val="Normal"/>
    <w:uiPriority w:val="99"/>
    <w:semiHidden/>
    <w:unhideWhenUsed/>
    <w:rsid w:val="00C5381B"/>
    <w:pPr>
      <w:spacing w:before="100" w:beforeAutospacing="1" w:after="100" w:afterAutospacing="1"/>
    </w:pPr>
    <w:rPr>
      <w:lang w:val="es-EC" w:eastAsia="es-EC"/>
    </w:rPr>
  </w:style>
  <w:style w:type="paragraph" w:styleId="Textoindependiente">
    <w:name w:val="Body Text"/>
    <w:basedOn w:val="Normal"/>
    <w:link w:val="TextoindependienteCar"/>
    <w:rsid w:val="00BB561B"/>
    <w:pPr>
      <w:suppressAutoHyphens/>
      <w:overflowPunct w:val="0"/>
      <w:spacing w:after="140" w:line="276" w:lineRule="auto"/>
    </w:pPr>
    <w:rPr>
      <w:rFonts w:ascii="Calibri" w:eastAsia="Calibri" w:hAnsi="Calibri" w:cs="Calibri"/>
      <w:lang w:val="es-EC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B561B"/>
    <w:rPr>
      <w:rFonts w:ascii="Calibri" w:eastAsia="Calibri" w:hAnsi="Calibri" w:cs="Calibri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Geovanny Pazmiño Jaramillo</dc:creator>
  <cp:keywords/>
  <dc:description/>
  <cp:lastModifiedBy>Luis Alberto Gualotuña Pastrano</cp:lastModifiedBy>
  <cp:revision>2</cp:revision>
  <dcterms:created xsi:type="dcterms:W3CDTF">2026-04-23T14:11:00Z</dcterms:created>
  <dcterms:modified xsi:type="dcterms:W3CDTF">2026-04-23T14:11:00Z</dcterms:modified>
</cp:coreProperties>
</file>